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516" w:rsidRDefault="00DE5786" w:rsidP="00601516">
      <w:r>
        <w:rPr>
          <w:rFonts w:ascii="Times New Roman" w:eastAsia="Times New Roman" w:hAnsi="Times New Roman"/>
          <w:sz w:val="24"/>
          <w:szCs w:val="24"/>
          <w:lang w:val="kk-KZ" w:eastAsia="ru-RU"/>
        </w:rPr>
        <w:t>Лекция</w:t>
      </w:r>
      <w:bookmarkStart w:id="0" w:name="_GoBack"/>
      <w:bookmarkEnd w:id="0"/>
      <w:r w:rsidR="00562EFA" w:rsidRPr="00D159CD">
        <w:rPr>
          <w:rFonts w:ascii="Times New Roman" w:eastAsia="Times New Roman" w:hAnsi="Times New Roman"/>
          <w:sz w:val="24"/>
          <w:szCs w:val="24"/>
          <w:lang w:val="kk-KZ" w:eastAsia="ru-RU"/>
        </w:rPr>
        <w:t xml:space="preserve"> </w:t>
      </w:r>
      <w:r w:rsidR="00562EFA" w:rsidRPr="00D159CD">
        <w:rPr>
          <w:rFonts w:ascii="Times New Roman" w:eastAsia="Times New Roman" w:hAnsi="Times New Roman"/>
          <w:sz w:val="24"/>
          <w:szCs w:val="24"/>
          <w:lang w:eastAsia="ru-RU"/>
        </w:rPr>
        <w:t>7.</w:t>
      </w:r>
      <w:r w:rsidR="00562EFA" w:rsidRPr="00D159CD">
        <w:rPr>
          <w:rFonts w:ascii="Times New Roman" w:eastAsia="Times New Roman" w:hAnsi="Times New Roman"/>
          <w:color w:val="000000"/>
          <w:sz w:val="24"/>
          <w:szCs w:val="24"/>
          <w:lang w:val="kk-KZ" w:eastAsia="ru-RU"/>
        </w:rPr>
        <w:t xml:space="preserve"> </w:t>
      </w:r>
      <w:r w:rsidR="00601516" w:rsidRPr="00D159CD">
        <w:rPr>
          <w:rFonts w:ascii="Times New Roman" w:eastAsia="Times New Roman" w:hAnsi="Times New Roman"/>
          <w:color w:val="000000"/>
          <w:sz w:val="24"/>
          <w:szCs w:val="24"/>
          <w:lang w:val="kk-KZ" w:eastAsia="ru-RU"/>
        </w:rPr>
        <w:t>Су сапасының негізгі көрсеткіштері</w:t>
      </w:r>
    </w:p>
    <w:p w:rsidR="00DE5786" w:rsidRPr="00DE5786" w:rsidRDefault="00DE5786" w:rsidP="00DE5786">
      <w:pPr>
        <w:spacing w:after="0" w:line="240" w:lineRule="auto"/>
        <w:ind w:left="851"/>
        <w:jc w:val="both"/>
        <w:rPr>
          <w:rFonts w:ascii="Times New Roman" w:eastAsia="Times New Roman" w:hAnsi="Times New Roman" w:cs="Times New Roman"/>
          <w:b/>
          <w:sz w:val="24"/>
          <w:szCs w:val="24"/>
          <w:lang w:val="kk-KZ" w:eastAsia="ru-RU"/>
        </w:rPr>
      </w:pPr>
      <w:r w:rsidRPr="00DE5786">
        <w:rPr>
          <w:rFonts w:ascii="Times New Roman" w:eastAsia="Times New Roman" w:hAnsi="Times New Roman" w:cs="Times New Roman"/>
          <w:b/>
          <w:sz w:val="24"/>
          <w:szCs w:val="24"/>
          <w:lang w:val="kk-KZ" w:eastAsia="ru-RU"/>
        </w:rPr>
        <w:t>Су сапасының негізгі көрсеткіштері</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Әртүрлі көздердің су сапасының көрсеткіштері: физикалық, химиялық, биологиялық және бактериологиялық болып табылады.</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Физикалық көрсеткіштерге жатады:</w:t>
      </w:r>
    </w:p>
    <w:p w:rsidR="00DE5786" w:rsidRPr="00DE5786" w:rsidRDefault="00DE5786" w:rsidP="00DE5786">
      <w:pPr>
        <w:numPr>
          <w:ilvl w:val="0"/>
          <w:numId w:val="1"/>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өлшенген заттардың құрамы (құм, тұнба, планктонның</w:t>
      </w:r>
    </w:p>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өлшектері). Тұнбаның      булануынан кейін өлшеніп анықталады (мг/л);</w:t>
      </w:r>
    </w:p>
    <w:p w:rsidR="00DE5786" w:rsidRPr="00DE5786" w:rsidRDefault="00DE5786" w:rsidP="00DE5786">
      <w:pPr>
        <w:numPr>
          <w:ilvl w:val="0"/>
          <w:numId w:val="1"/>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шартты бірліктерде түстің (бояудың) бағалануы;</w:t>
      </w:r>
    </w:p>
    <w:p w:rsidR="00DE5786" w:rsidRPr="00DE5786" w:rsidRDefault="00DE5786" w:rsidP="00DE5786">
      <w:pPr>
        <w:numPr>
          <w:ilvl w:val="0"/>
          <w:numId w:val="1"/>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дәмі және иісі баллмен бағаланады (органолептикалық).</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Химиялық көрсеткіштер шартты түрде бес топқа бөлінеді: негізгі иондар, еріген газдар, биогенді заттар, микроэлементтер және органикалық заттар.</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b/>
          <w:sz w:val="24"/>
          <w:szCs w:val="24"/>
          <w:lang w:val="kk-KZ" w:eastAsia="ru-RU"/>
        </w:rPr>
        <w:t>Негізгі иондар.</w:t>
      </w:r>
      <w:r w:rsidRPr="00DE5786">
        <w:rPr>
          <w:rFonts w:ascii="Times New Roman" w:eastAsia="Times New Roman" w:hAnsi="Times New Roman" w:cs="Times New Roman"/>
          <w:sz w:val="24"/>
          <w:szCs w:val="24"/>
          <w:lang w:val="kk-KZ" w:eastAsia="ru-RU"/>
        </w:rPr>
        <w:t xml:space="preserve"> Табиғи суларда кең таралған аниондар: HCO</w:t>
      </w:r>
      <w:r w:rsidRPr="00DE5786">
        <w:rPr>
          <w:rFonts w:ascii="Times New Roman" w:eastAsia="Times New Roman" w:hAnsi="Times New Roman" w:cs="Times New Roman"/>
          <w:sz w:val="24"/>
          <w:szCs w:val="24"/>
          <w:vertAlign w:val="subscript"/>
          <w:lang w:val="kk-KZ" w:eastAsia="ru-RU"/>
        </w:rPr>
        <w:t>3</w:t>
      </w:r>
      <w:r w:rsidRPr="00DE5786">
        <w:rPr>
          <w:rFonts w:ascii="Times New Roman" w:eastAsia="Times New Roman" w:hAnsi="Times New Roman" w:cs="Times New Roman"/>
          <w:sz w:val="24"/>
          <w:szCs w:val="24"/>
          <w:vertAlign w:val="superscript"/>
          <w:lang w:val="kk-KZ" w:eastAsia="ru-RU"/>
        </w:rPr>
        <w:t>-</w:t>
      </w:r>
      <w:r w:rsidRPr="00DE5786">
        <w:rPr>
          <w:rFonts w:ascii="Times New Roman" w:eastAsia="Times New Roman" w:hAnsi="Times New Roman" w:cs="Times New Roman"/>
          <w:sz w:val="24"/>
          <w:szCs w:val="24"/>
          <w:vertAlign w:val="subscript"/>
          <w:lang w:val="kk-KZ" w:eastAsia="ru-RU"/>
        </w:rPr>
        <w:t xml:space="preserve"> </w:t>
      </w:r>
      <w:r w:rsidRPr="00DE5786">
        <w:rPr>
          <w:rFonts w:ascii="Times New Roman" w:eastAsia="Times New Roman" w:hAnsi="Times New Roman" w:cs="Times New Roman"/>
          <w:sz w:val="24"/>
          <w:szCs w:val="24"/>
          <w:lang w:val="kk-KZ" w:eastAsia="ru-RU"/>
        </w:rPr>
        <w:t>, SO</w:t>
      </w:r>
      <w:r w:rsidRPr="00DE5786">
        <w:rPr>
          <w:rFonts w:ascii="Times New Roman" w:eastAsia="Times New Roman" w:hAnsi="Times New Roman" w:cs="Times New Roman"/>
          <w:sz w:val="24"/>
          <w:szCs w:val="24"/>
          <w:vertAlign w:val="superscript"/>
          <w:lang w:val="kk-KZ" w:eastAsia="ru-RU"/>
        </w:rPr>
        <w:t>2-</w:t>
      </w:r>
      <w:r w:rsidRPr="00DE5786">
        <w:rPr>
          <w:rFonts w:ascii="Times New Roman" w:eastAsia="Times New Roman" w:hAnsi="Times New Roman" w:cs="Times New Roman"/>
          <w:sz w:val="24"/>
          <w:szCs w:val="24"/>
          <w:lang w:val="kk-KZ" w:eastAsia="ru-RU"/>
        </w:rPr>
        <w:t>, Cl</w:t>
      </w:r>
      <w:r w:rsidRPr="00DE5786">
        <w:rPr>
          <w:rFonts w:ascii="Times New Roman" w:eastAsia="Times New Roman" w:hAnsi="Times New Roman" w:cs="Times New Roman"/>
          <w:sz w:val="24"/>
          <w:szCs w:val="24"/>
          <w:vertAlign w:val="superscript"/>
          <w:lang w:val="kk-KZ" w:eastAsia="ru-RU"/>
        </w:rPr>
        <w:t>-</w:t>
      </w:r>
      <w:r w:rsidRPr="00DE5786">
        <w:rPr>
          <w:rFonts w:ascii="Times New Roman" w:eastAsia="Times New Roman" w:hAnsi="Times New Roman" w:cs="Times New Roman"/>
          <w:sz w:val="24"/>
          <w:szCs w:val="24"/>
          <w:lang w:val="kk-KZ" w:eastAsia="ru-RU"/>
        </w:rPr>
        <w:t>, CO</w:t>
      </w:r>
      <w:r w:rsidRPr="00DE5786">
        <w:rPr>
          <w:rFonts w:ascii="Times New Roman" w:eastAsia="Times New Roman" w:hAnsi="Times New Roman" w:cs="Times New Roman"/>
          <w:sz w:val="24"/>
          <w:szCs w:val="24"/>
          <w:vertAlign w:val="subscript"/>
          <w:lang w:val="kk-KZ" w:eastAsia="ru-RU"/>
        </w:rPr>
        <w:t>3</w:t>
      </w:r>
      <w:r w:rsidRPr="00DE5786">
        <w:rPr>
          <w:rFonts w:ascii="Times New Roman" w:eastAsia="Times New Roman" w:hAnsi="Times New Roman" w:cs="Times New Roman"/>
          <w:sz w:val="24"/>
          <w:szCs w:val="24"/>
          <w:vertAlign w:val="superscript"/>
          <w:lang w:val="kk-KZ" w:eastAsia="ru-RU"/>
        </w:rPr>
        <w:t>2-</w:t>
      </w:r>
      <w:r w:rsidRPr="00DE5786">
        <w:rPr>
          <w:rFonts w:ascii="Times New Roman" w:eastAsia="Times New Roman" w:hAnsi="Times New Roman" w:cs="Times New Roman"/>
          <w:sz w:val="24"/>
          <w:szCs w:val="24"/>
          <w:lang w:val="kk-KZ" w:eastAsia="ru-RU"/>
        </w:rPr>
        <w:t>, HSiO</w:t>
      </w:r>
      <w:r w:rsidRPr="00DE5786">
        <w:rPr>
          <w:rFonts w:ascii="Times New Roman" w:eastAsia="Times New Roman" w:hAnsi="Times New Roman" w:cs="Times New Roman"/>
          <w:sz w:val="24"/>
          <w:szCs w:val="24"/>
          <w:vertAlign w:val="subscript"/>
          <w:lang w:val="kk-KZ" w:eastAsia="ru-RU"/>
        </w:rPr>
        <w:t>3</w:t>
      </w:r>
      <w:r w:rsidRPr="00DE5786">
        <w:rPr>
          <w:rFonts w:ascii="Times New Roman" w:eastAsia="Times New Roman" w:hAnsi="Times New Roman" w:cs="Times New Roman"/>
          <w:sz w:val="24"/>
          <w:szCs w:val="24"/>
          <w:vertAlign w:val="superscript"/>
          <w:lang w:val="kk-KZ" w:eastAsia="ru-RU"/>
        </w:rPr>
        <w:t>-</w:t>
      </w:r>
      <w:r w:rsidRPr="00DE5786">
        <w:rPr>
          <w:rFonts w:ascii="Times New Roman" w:eastAsia="Times New Roman" w:hAnsi="Times New Roman" w:cs="Times New Roman"/>
          <w:sz w:val="24"/>
          <w:szCs w:val="24"/>
          <w:lang w:val="kk-KZ" w:eastAsia="ru-RU"/>
        </w:rPr>
        <w:t>, NO</w:t>
      </w:r>
      <w:r w:rsidRPr="00DE5786">
        <w:rPr>
          <w:rFonts w:ascii="Times New Roman" w:eastAsia="Times New Roman" w:hAnsi="Times New Roman" w:cs="Times New Roman"/>
          <w:sz w:val="24"/>
          <w:szCs w:val="24"/>
          <w:vertAlign w:val="subscript"/>
          <w:lang w:val="kk-KZ" w:eastAsia="ru-RU"/>
        </w:rPr>
        <w:t>2</w:t>
      </w:r>
      <w:r w:rsidRPr="00DE5786">
        <w:rPr>
          <w:rFonts w:ascii="Times New Roman" w:eastAsia="Times New Roman" w:hAnsi="Times New Roman" w:cs="Times New Roman"/>
          <w:sz w:val="24"/>
          <w:szCs w:val="24"/>
          <w:vertAlign w:val="superscript"/>
          <w:lang w:val="kk-KZ" w:eastAsia="ru-RU"/>
        </w:rPr>
        <w:t>-</w:t>
      </w:r>
      <w:r w:rsidRPr="00DE5786">
        <w:rPr>
          <w:rFonts w:ascii="Times New Roman" w:eastAsia="Times New Roman" w:hAnsi="Times New Roman" w:cs="Times New Roman"/>
          <w:sz w:val="24"/>
          <w:szCs w:val="24"/>
          <w:lang w:val="kk-KZ" w:eastAsia="ru-RU"/>
        </w:rPr>
        <w:t>, NO</w:t>
      </w:r>
      <w:r w:rsidRPr="00DE5786">
        <w:rPr>
          <w:rFonts w:ascii="Times New Roman" w:eastAsia="Times New Roman" w:hAnsi="Times New Roman" w:cs="Times New Roman"/>
          <w:sz w:val="24"/>
          <w:szCs w:val="24"/>
          <w:vertAlign w:val="subscript"/>
          <w:lang w:val="kk-KZ" w:eastAsia="ru-RU"/>
        </w:rPr>
        <w:t>3</w:t>
      </w:r>
      <w:r w:rsidRPr="00DE5786">
        <w:rPr>
          <w:rFonts w:ascii="Times New Roman" w:eastAsia="Times New Roman" w:hAnsi="Times New Roman" w:cs="Times New Roman"/>
          <w:sz w:val="24"/>
          <w:szCs w:val="24"/>
          <w:vertAlign w:val="superscript"/>
          <w:lang w:val="kk-KZ" w:eastAsia="ru-RU"/>
        </w:rPr>
        <w:t>-</w:t>
      </w:r>
      <w:r w:rsidRPr="00DE5786">
        <w:rPr>
          <w:rFonts w:ascii="Times New Roman" w:eastAsia="Times New Roman" w:hAnsi="Times New Roman" w:cs="Times New Roman"/>
          <w:sz w:val="24"/>
          <w:szCs w:val="24"/>
          <w:lang w:val="kk-KZ" w:eastAsia="ru-RU"/>
        </w:rPr>
        <w:t>;  катиондар: Na</w:t>
      </w:r>
      <w:r w:rsidRPr="00DE5786">
        <w:rPr>
          <w:rFonts w:ascii="Times New Roman" w:eastAsia="Times New Roman" w:hAnsi="Times New Roman" w:cs="Times New Roman"/>
          <w:sz w:val="24"/>
          <w:szCs w:val="24"/>
          <w:vertAlign w:val="superscript"/>
          <w:lang w:val="kk-KZ" w:eastAsia="ru-RU"/>
        </w:rPr>
        <w:t>+</w:t>
      </w:r>
      <w:r w:rsidRPr="00DE5786">
        <w:rPr>
          <w:rFonts w:ascii="Times New Roman" w:eastAsia="Times New Roman" w:hAnsi="Times New Roman" w:cs="Times New Roman"/>
          <w:sz w:val="24"/>
          <w:szCs w:val="24"/>
          <w:lang w:val="kk-KZ" w:eastAsia="ru-RU"/>
        </w:rPr>
        <w:t>, K</w:t>
      </w:r>
      <w:r w:rsidRPr="00DE5786">
        <w:rPr>
          <w:rFonts w:ascii="Times New Roman" w:eastAsia="Times New Roman" w:hAnsi="Times New Roman" w:cs="Times New Roman"/>
          <w:sz w:val="24"/>
          <w:szCs w:val="24"/>
          <w:vertAlign w:val="superscript"/>
          <w:lang w:val="kk-KZ" w:eastAsia="ru-RU"/>
        </w:rPr>
        <w:t>+</w:t>
      </w:r>
      <w:r w:rsidRPr="00DE5786">
        <w:rPr>
          <w:rFonts w:ascii="Times New Roman" w:eastAsia="Times New Roman" w:hAnsi="Times New Roman" w:cs="Times New Roman"/>
          <w:sz w:val="24"/>
          <w:szCs w:val="24"/>
          <w:lang w:val="kk-KZ" w:eastAsia="ru-RU"/>
        </w:rPr>
        <w:t>, Ca</w:t>
      </w:r>
      <w:r w:rsidRPr="00DE5786">
        <w:rPr>
          <w:rFonts w:ascii="Times New Roman" w:eastAsia="Times New Roman" w:hAnsi="Times New Roman" w:cs="Times New Roman"/>
          <w:sz w:val="24"/>
          <w:szCs w:val="24"/>
          <w:vertAlign w:val="superscript"/>
          <w:lang w:val="kk-KZ" w:eastAsia="ru-RU"/>
        </w:rPr>
        <w:t>2+</w:t>
      </w:r>
      <w:r w:rsidRPr="00DE5786">
        <w:rPr>
          <w:rFonts w:ascii="Times New Roman" w:eastAsia="Times New Roman" w:hAnsi="Times New Roman" w:cs="Times New Roman"/>
          <w:sz w:val="24"/>
          <w:szCs w:val="24"/>
          <w:lang w:val="kk-KZ" w:eastAsia="ru-RU"/>
        </w:rPr>
        <w:t>, Mg</w:t>
      </w:r>
      <w:r w:rsidRPr="00DE5786">
        <w:rPr>
          <w:rFonts w:ascii="Times New Roman" w:eastAsia="Times New Roman" w:hAnsi="Times New Roman" w:cs="Times New Roman"/>
          <w:sz w:val="24"/>
          <w:szCs w:val="24"/>
          <w:vertAlign w:val="superscript"/>
          <w:lang w:val="kk-KZ" w:eastAsia="ru-RU"/>
        </w:rPr>
        <w:t>2+</w:t>
      </w:r>
      <w:r w:rsidRPr="00DE5786">
        <w:rPr>
          <w:rFonts w:ascii="Times New Roman" w:eastAsia="Times New Roman" w:hAnsi="Times New Roman" w:cs="Times New Roman"/>
          <w:sz w:val="24"/>
          <w:szCs w:val="24"/>
          <w:lang w:val="kk-KZ" w:eastAsia="ru-RU"/>
        </w:rPr>
        <w:t>, Fe</w:t>
      </w:r>
      <w:r w:rsidRPr="00DE5786">
        <w:rPr>
          <w:rFonts w:ascii="Times New Roman" w:eastAsia="Times New Roman" w:hAnsi="Times New Roman" w:cs="Times New Roman"/>
          <w:sz w:val="24"/>
          <w:szCs w:val="24"/>
          <w:vertAlign w:val="superscript"/>
          <w:lang w:val="kk-KZ" w:eastAsia="ru-RU"/>
        </w:rPr>
        <w:t>2+</w:t>
      </w:r>
      <w:r w:rsidRPr="00DE5786">
        <w:rPr>
          <w:rFonts w:ascii="Times New Roman" w:eastAsia="Times New Roman" w:hAnsi="Times New Roman" w:cs="Times New Roman"/>
          <w:sz w:val="24"/>
          <w:szCs w:val="24"/>
          <w:lang w:val="kk-KZ" w:eastAsia="ru-RU"/>
        </w:rPr>
        <w:t>.</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Судың кермектілігін (қаттылығын) еріген кальцийдің және магнийдің тұздары көрсетеді. Кермектілікті карбонатты (СаСО</w:t>
      </w:r>
      <w:r w:rsidRPr="00DE5786">
        <w:rPr>
          <w:rFonts w:ascii="Times New Roman" w:eastAsia="Times New Roman" w:hAnsi="Times New Roman" w:cs="Times New Roman"/>
          <w:sz w:val="24"/>
          <w:szCs w:val="24"/>
          <w:vertAlign w:val="subscript"/>
          <w:lang w:val="kk-KZ" w:eastAsia="ru-RU"/>
        </w:rPr>
        <w:t>3</w:t>
      </w:r>
      <w:r w:rsidRPr="00DE5786">
        <w:rPr>
          <w:rFonts w:ascii="Times New Roman" w:eastAsia="Times New Roman" w:hAnsi="Times New Roman" w:cs="Times New Roman"/>
          <w:sz w:val="24"/>
          <w:szCs w:val="24"/>
          <w:lang w:val="kk-KZ" w:eastAsia="ru-RU"/>
        </w:rPr>
        <w:t>, MgCO</w:t>
      </w:r>
      <w:r w:rsidRPr="00DE5786">
        <w:rPr>
          <w:rFonts w:ascii="Times New Roman" w:eastAsia="Times New Roman" w:hAnsi="Times New Roman" w:cs="Times New Roman"/>
          <w:sz w:val="24"/>
          <w:szCs w:val="24"/>
          <w:vertAlign w:val="subscript"/>
          <w:lang w:val="kk-KZ" w:eastAsia="ru-RU"/>
        </w:rPr>
        <w:t>3</w:t>
      </w:r>
      <w:r w:rsidRPr="00DE5786">
        <w:rPr>
          <w:rFonts w:ascii="Times New Roman" w:eastAsia="Times New Roman" w:hAnsi="Times New Roman" w:cs="Times New Roman"/>
          <w:sz w:val="24"/>
          <w:szCs w:val="24"/>
          <w:lang w:val="kk-KZ" w:eastAsia="ru-RU"/>
        </w:rPr>
        <w:t>) және карбонатсыз (CaSO</w:t>
      </w:r>
      <w:r w:rsidRPr="00DE5786">
        <w:rPr>
          <w:rFonts w:ascii="Times New Roman" w:eastAsia="Times New Roman" w:hAnsi="Times New Roman" w:cs="Times New Roman"/>
          <w:sz w:val="24"/>
          <w:szCs w:val="24"/>
          <w:vertAlign w:val="subscript"/>
          <w:lang w:val="kk-KZ" w:eastAsia="ru-RU"/>
        </w:rPr>
        <w:t>4</w:t>
      </w:r>
      <w:r w:rsidRPr="00DE5786">
        <w:rPr>
          <w:rFonts w:ascii="Times New Roman" w:eastAsia="Times New Roman" w:hAnsi="Times New Roman" w:cs="Times New Roman"/>
          <w:sz w:val="24"/>
          <w:szCs w:val="24"/>
          <w:lang w:val="kk-KZ" w:eastAsia="ru-RU"/>
        </w:rPr>
        <w:t>, MgSO</w:t>
      </w:r>
      <w:r w:rsidRPr="00DE5786">
        <w:rPr>
          <w:rFonts w:ascii="Times New Roman" w:eastAsia="Times New Roman" w:hAnsi="Times New Roman" w:cs="Times New Roman"/>
          <w:sz w:val="24"/>
          <w:szCs w:val="24"/>
          <w:vertAlign w:val="subscript"/>
          <w:lang w:val="kk-KZ" w:eastAsia="ru-RU"/>
        </w:rPr>
        <w:t>4</w:t>
      </w:r>
      <w:r w:rsidRPr="00DE5786">
        <w:rPr>
          <w:rFonts w:ascii="Times New Roman" w:eastAsia="Times New Roman" w:hAnsi="Times New Roman" w:cs="Times New Roman"/>
          <w:sz w:val="24"/>
          <w:szCs w:val="24"/>
          <w:lang w:val="kk-KZ" w:eastAsia="ru-RU"/>
        </w:rPr>
        <w:t>, CaCl</w:t>
      </w:r>
      <w:r w:rsidRPr="00DE5786">
        <w:rPr>
          <w:rFonts w:ascii="Times New Roman" w:eastAsia="Times New Roman" w:hAnsi="Times New Roman" w:cs="Times New Roman"/>
          <w:sz w:val="24"/>
          <w:szCs w:val="24"/>
          <w:vertAlign w:val="subscript"/>
          <w:lang w:val="kk-KZ" w:eastAsia="ru-RU"/>
        </w:rPr>
        <w:t>2</w:t>
      </w:r>
      <w:r w:rsidRPr="00DE5786">
        <w:rPr>
          <w:rFonts w:ascii="Times New Roman" w:eastAsia="Times New Roman" w:hAnsi="Times New Roman" w:cs="Times New Roman"/>
          <w:sz w:val="24"/>
          <w:szCs w:val="24"/>
          <w:lang w:val="kk-KZ" w:eastAsia="ru-RU"/>
        </w:rPr>
        <w:t>, MgCl</w:t>
      </w:r>
      <w:r w:rsidRPr="00DE5786">
        <w:rPr>
          <w:rFonts w:ascii="Times New Roman" w:eastAsia="Times New Roman" w:hAnsi="Times New Roman" w:cs="Times New Roman"/>
          <w:sz w:val="24"/>
          <w:szCs w:val="24"/>
          <w:vertAlign w:val="subscript"/>
          <w:lang w:val="kk-KZ" w:eastAsia="ru-RU"/>
        </w:rPr>
        <w:t>2</w:t>
      </w:r>
      <w:r w:rsidRPr="00DE5786">
        <w:rPr>
          <w:rFonts w:ascii="Times New Roman" w:eastAsia="Times New Roman" w:hAnsi="Times New Roman" w:cs="Times New Roman"/>
          <w:sz w:val="24"/>
          <w:szCs w:val="24"/>
          <w:lang w:val="kk-KZ" w:eastAsia="ru-RU"/>
        </w:rPr>
        <w:t>, Ca(NO</w:t>
      </w:r>
      <w:r w:rsidRPr="00DE5786">
        <w:rPr>
          <w:rFonts w:ascii="Times New Roman" w:eastAsia="Times New Roman" w:hAnsi="Times New Roman" w:cs="Times New Roman"/>
          <w:sz w:val="24"/>
          <w:szCs w:val="24"/>
          <w:vertAlign w:val="subscript"/>
          <w:lang w:val="kk-KZ" w:eastAsia="ru-RU"/>
        </w:rPr>
        <w:t>3</w:t>
      </w:r>
      <w:r w:rsidRPr="00DE5786">
        <w:rPr>
          <w:rFonts w:ascii="Times New Roman" w:eastAsia="Times New Roman" w:hAnsi="Times New Roman" w:cs="Times New Roman"/>
          <w:sz w:val="24"/>
          <w:szCs w:val="24"/>
          <w:lang w:val="kk-KZ" w:eastAsia="ru-RU"/>
        </w:rPr>
        <w:t>)</w:t>
      </w:r>
      <w:r w:rsidRPr="00DE5786">
        <w:rPr>
          <w:rFonts w:ascii="Times New Roman" w:eastAsia="Times New Roman" w:hAnsi="Times New Roman" w:cs="Times New Roman"/>
          <w:sz w:val="24"/>
          <w:szCs w:val="24"/>
          <w:vertAlign w:val="subscript"/>
          <w:lang w:val="kk-KZ" w:eastAsia="ru-RU"/>
        </w:rPr>
        <w:t>2</w:t>
      </w:r>
      <w:r w:rsidRPr="00DE5786">
        <w:rPr>
          <w:rFonts w:ascii="Times New Roman" w:eastAsia="Times New Roman" w:hAnsi="Times New Roman" w:cs="Times New Roman"/>
          <w:sz w:val="24"/>
          <w:szCs w:val="24"/>
          <w:lang w:val="kk-KZ" w:eastAsia="ru-RU"/>
        </w:rPr>
        <w:t>, Mg(NO</w:t>
      </w:r>
      <w:r w:rsidRPr="00DE5786">
        <w:rPr>
          <w:rFonts w:ascii="Times New Roman" w:eastAsia="Times New Roman" w:hAnsi="Times New Roman" w:cs="Times New Roman"/>
          <w:sz w:val="24"/>
          <w:szCs w:val="24"/>
          <w:vertAlign w:val="subscript"/>
          <w:lang w:val="kk-KZ" w:eastAsia="ru-RU"/>
        </w:rPr>
        <w:t>3</w:t>
      </w:r>
      <w:r w:rsidRPr="00DE5786">
        <w:rPr>
          <w:rFonts w:ascii="Times New Roman" w:eastAsia="Times New Roman" w:hAnsi="Times New Roman" w:cs="Times New Roman"/>
          <w:sz w:val="24"/>
          <w:szCs w:val="24"/>
          <w:lang w:val="kk-KZ" w:eastAsia="ru-RU"/>
        </w:rPr>
        <w:t>)</w:t>
      </w:r>
      <w:r w:rsidRPr="00DE5786">
        <w:rPr>
          <w:rFonts w:ascii="Times New Roman" w:eastAsia="Times New Roman" w:hAnsi="Times New Roman" w:cs="Times New Roman"/>
          <w:sz w:val="24"/>
          <w:szCs w:val="24"/>
          <w:vertAlign w:val="subscript"/>
          <w:lang w:val="kk-KZ" w:eastAsia="ru-RU"/>
        </w:rPr>
        <w:t>2</w:t>
      </w:r>
      <w:r w:rsidRPr="00DE5786">
        <w:rPr>
          <w:rFonts w:ascii="Times New Roman" w:eastAsia="Times New Roman" w:hAnsi="Times New Roman" w:cs="Times New Roman"/>
          <w:sz w:val="24"/>
          <w:szCs w:val="24"/>
          <w:lang w:val="kk-KZ" w:eastAsia="ru-RU"/>
        </w:rPr>
        <w:t xml:space="preserve">) деп ажыратады. </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Еріген газдар: </w:t>
      </w:r>
      <w:r w:rsidRPr="00DE5786">
        <w:rPr>
          <w:rFonts w:ascii="Times New Roman" w:eastAsia="Times New Roman" w:hAnsi="Times New Roman" w:cs="Times New Roman"/>
          <w:sz w:val="24"/>
          <w:szCs w:val="24"/>
          <w:lang w:val="en-US" w:eastAsia="ru-RU"/>
        </w:rPr>
        <w:t>O</w:t>
      </w:r>
      <w:r w:rsidRPr="00DE5786">
        <w:rPr>
          <w:rFonts w:ascii="Times New Roman" w:eastAsia="Times New Roman" w:hAnsi="Times New Roman" w:cs="Times New Roman"/>
          <w:sz w:val="24"/>
          <w:szCs w:val="24"/>
          <w:vertAlign w:val="subscript"/>
          <w:lang w:val="en-US" w:eastAsia="ru-RU"/>
        </w:rPr>
        <w:t>2</w:t>
      </w:r>
      <w:r w:rsidRPr="00DE5786">
        <w:rPr>
          <w:rFonts w:ascii="Times New Roman" w:eastAsia="Times New Roman" w:hAnsi="Times New Roman" w:cs="Times New Roman"/>
          <w:sz w:val="24"/>
          <w:szCs w:val="24"/>
          <w:lang w:val="en-US" w:eastAsia="ru-RU"/>
        </w:rPr>
        <w:t>, CO</w:t>
      </w:r>
      <w:r w:rsidRPr="00DE5786">
        <w:rPr>
          <w:rFonts w:ascii="Times New Roman" w:eastAsia="Times New Roman" w:hAnsi="Times New Roman" w:cs="Times New Roman"/>
          <w:sz w:val="24"/>
          <w:szCs w:val="24"/>
          <w:vertAlign w:val="subscript"/>
          <w:lang w:val="en-US" w:eastAsia="ru-RU"/>
        </w:rPr>
        <w:t>2</w:t>
      </w:r>
      <w:r w:rsidRPr="00DE5786">
        <w:rPr>
          <w:rFonts w:ascii="Times New Roman" w:eastAsia="Times New Roman" w:hAnsi="Times New Roman" w:cs="Times New Roman"/>
          <w:sz w:val="24"/>
          <w:szCs w:val="24"/>
          <w:lang w:val="en-US" w:eastAsia="ru-RU"/>
        </w:rPr>
        <w:t>, H</w:t>
      </w:r>
      <w:r w:rsidRPr="00DE5786">
        <w:rPr>
          <w:rFonts w:ascii="Times New Roman" w:eastAsia="Times New Roman" w:hAnsi="Times New Roman" w:cs="Times New Roman"/>
          <w:sz w:val="24"/>
          <w:szCs w:val="24"/>
          <w:vertAlign w:val="subscript"/>
          <w:lang w:val="en-US" w:eastAsia="ru-RU"/>
        </w:rPr>
        <w:t>2</w:t>
      </w:r>
      <w:r w:rsidRPr="00DE5786">
        <w:rPr>
          <w:rFonts w:ascii="Times New Roman" w:eastAsia="Times New Roman" w:hAnsi="Times New Roman" w:cs="Times New Roman"/>
          <w:sz w:val="24"/>
          <w:szCs w:val="24"/>
          <w:lang w:val="en-US" w:eastAsia="ru-RU"/>
        </w:rPr>
        <w:t>S</w:t>
      </w:r>
      <w:r w:rsidRPr="00DE5786">
        <w:rPr>
          <w:rFonts w:ascii="Times New Roman" w:eastAsia="Times New Roman" w:hAnsi="Times New Roman" w:cs="Times New Roman"/>
          <w:sz w:val="24"/>
          <w:szCs w:val="24"/>
          <w:lang w:val="kk-KZ" w:eastAsia="ru-RU"/>
        </w:rPr>
        <w:t xml:space="preserve"> және т. б.</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Оттегі судағы фотосинтездің нәтижесінде пайда болады және  ауадан келіп түсуімен анықталады. Оттегінің еруі судың температурасына байланысты: температура төмен болған сайын, оттегі аз болады.</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СО</w:t>
      </w:r>
      <w:r w:rsidRPr="00DE5786">
        <w:rPr>
          <w:rFonts w:ascii="Times New Roman" w:eastAsia="Times New Roman" w:hAnsi="Times New Roman" w:cs="Times New Roman"/>
          <w:sz w:val="24"/>
          <w:szCs w:val="24"/>
          <w:vertAlign w:val="subscript"/>
          <w:lang w:val="kk-KZ" w:eastAsia="ru-RU"/>
        </w:rPr>
        <w:t>2</w:t>
      </w:r>
      <w:r w:rsidRPr="00DE5786">
        <w:rPr>
          <w:rFonts w:ascii="Times New Roman" w:eastAsia="Times New Roman" w:hAnsi="Times New Roman" w:cs="Times New Roman"/>
          <w:sz w:val="24"/>
          <w:szCs w:val="24"/>
          <w:lang w:val="kk-KZ" w:eastAsia="ru-RU"/>
        </w:rPr>
        <w:t xml:space="preserve"> суда еріген түрінде де, көмірқышқыл түрінде де кездеседі. Көмірқышқыл газының негізгі көздері заттар ыдырауының биохимиялық процестері болып табылады. </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Н</w:t>
      </w:r>
      <w:r w:rsidRPr="00DE5786">
        <w:rPr>
          <w:rFonts w:ascii="Times New Roman" w:eastAsia="Times New Roman" w:hAnsi="Times New Roman" w:cs="Times New Roman"/>
          <w:sz w:val="24"/>
          <w:szCs w:val="24"/>
          <w:vertAlign w:val="subscript"/>
          <w:lang w:val="kk-KZ" w:eastAsia="ru-RU"/>
        </w:rPr>
        <w:t>2</w:t>
      </w:r>
      <w:r w:rsidRPr="00DE5786">
        <w:rPr>
          <w:rFonts w:ascii="Times New Roman" w:eastAsia="Times New Roman" w:hAnsi="Times New Roman" w:cs="Times New Roman"/>
          <w:sz w:val="24"/>
          <w:szCs w:val="24"/>
          <w:lang w:val="kk-KZ" w:eastAsia="ru-RU"/>
        </w:rPr>
        <w:t xml:space="preserve">S шығу тегі жағынан органикалық (өнімнің ыдырауы) және бейорганикалық (минералды тұздардың ыдырауы) болады. Судағы күкіртсутектің болуынан жағымсыз иіс және металдың коррозиясы пайда болады. Су организмдерінің тіршілігі үшін қажетті биогенді заттар, зат алмасу процесінің (азот пен фосфордың қосылысы) нәтижесінде пайда болады. </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Микроэлементтер – судың құрамында 1 мг/л болатын элементтер. Адам үшін ең маңызды элементтер йод пен фтор болып табылады. Судың қышқылдылығы әдетте табиғи сулар үшін 6,5 – 8,5 дейін сутектік көрсеткішпен (рН) анықталады. Суаттағы су рН-ның өзгеруі, әдетте, жаңбырмен шайылып, суатқа ағып түсетін ауаның қышқылды қоспалармен (азот және күкірт оксидтерімен, т.б.) ластануының нәтижесі болып табылады. Сонымен бірге рН-тың өзгеруі тазарту және нейтрализациялау жолдарын өтпеген, суаттардың өндірістік ақаба суларымен ластануынан пайда болады. Табиғи сулардың қышқылдылығы, сонымен қатар, суат орналасқан орнымен, топырақ сипатымен, су түбінің өзгешелігімен анықталады. </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Суда еріген оттегі экологиялық маңызға ие. Гидробионттардың тыныс алуын қамтамасыз ету үшін оттегі жеткілікті болу қажет. Өлі организмдердің ыдырауына, органикалық және басқа қосылыстардың тотықтыру процестеріне қатысатындықтан, суаттардың өздігінен тазалануына қажетті. Ауамен әсерлескенде, оның еру жолымен және су өсімдіктерінің фотосинтезі , физико-химиялық, биохимиялық процестердің нәтижесінде оттегінің суға түсу жолдары байқалады.</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Табиғи сулардың сапасы, едәуір деңгейде, еріген минералды тұздар концентрациясының еруімен анықталады. Әдетте табиғи суларда кездесетін минералды тұздардың екі үлкен класын бөледі.</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Жалпы тұз құрамына тұздардың 1-ші класы негізгі үлесін қосады. Табиғи сулардың жалпы тұз құрамына шамалы үлес қосқанымен, тұздардың 2-ші класын, судың сапасын бағалаған уақытта есепке алу керек, себебі, олардың әрқайсысына ШРК-ң мәні қойылған. Суда еріген минералды тұздардың концентрациясын аналитикалық химияның әдісімен анықтайды. Судың минералды құрамының негізгі компоненттерімен оларға бекітілген шекті-рауалы концентрация 1.4 кестеде берілген.</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1.4 Кесте -</w:t>
      </w:r>
      <w:r w:rsidRPr="00DE5786">
        <w:rPr>
          <w:rFonts w:ascii="Times New Roman" w:eastAsia="Times New Roman" w:hAnsi="Times New Roman" w:cs="Times New Roman"/>
          <w:i/>
          <w:sz w:val="24"/>
          <w:szCs w:val="24"/>
          <w:lang w:val="kk-KZ" w:eastAsia="ru-RU"/>
        </w:rPr>
        <w:t xml:space="preserve"> </w:t>
      </w:r>
      <w:r w:rsidRPr="00DE5786">
        <w:rPr>
          <w:rFonts w:ascii="Times New Roman" w:eastAsia="Times New Roman" w:hAnsi="Times New Roman" w:cs="Times New Roman"/>
          <w:sz w:val="24"/>
          <w:szCs w:val="24"/>
          <w:lang w:val="kk-KZ" w:eastAsia="ru-RU"/>
        </w:rPr>
        <w:t>Судың минералды құрамының негізгі компоненттері</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7"/>
        <w:gridCol w:w="3973"/>
      </w:tblGrid>
      <w:tr w:rsidR="00DE5786" w:rsidRPr="00DE5786" w:rsidTr="00785F9A">
        <w:tblPrEx>
          <w:tblCellMar>
            <w:top w:w="0" w:type="dxa"/>
            <w:bottom w:w="0" w:type="dxa"/>
          </w:tblCellMar>
        </w:tblPrEx>
        <w:trPr>
          <w:trHeight w:val="581"/>
        </w:trPr>
        <w:tc>
          <w:tcPr>
            <w:tcW w:w="4487" w:type="dxa"/>
            <w:tcBorders>
              <w:top w:val="nil"/>
              <w:left w:val="nil"/>
              <w:bottom w:val="nil"/>
            </w:tcBorders>
            <w:shd w:val="clear" w:color="auto" w:fill="auto"/>
          </w:tcPr>
          <w:p w:rsidR="00DE5786" w:rsidRPr="00DE5786" w:rsidRDefault="00DE5786" w:rsidP="00DE5786">
            <w:pPr>
              <w:spacing w:after="0" w:line="240" w:lineRule="auto"/>
              <w:jc w:val="center"/>
              <w:rPr>
                <w:rFonts w:ascii="Times New Roman" w:eastAsia="Times New Roman" w:hAnsi="Times New Roman" w:cs="Times New Roman"/>
                <w:b/>
                <w:sz w:val="24"/>
                <w:szCs w:val="24"/>
                <w:lang w:val="kk-KZ" w:eastAsia="ru-RU"/>
              </w:rPr>
            </w:pPr>
            <w:r w:rsidRPr="00DE5786">
              <w:rPr>
                <w:rFonts w:ascii="Times New Roman" w:eastAsia="Times New Roman" w:hAnsi="Times New Roman" w:cs="Times New Roman"/>
                <w:b/>
                <w:sz w:val="24"/>
                <w:szCs w:val="24"/>
                <w:lang w:val="kk-KZ" w:eastAsia="ru-RU"/>
              </w:rPr>
              <w:t>Судың минералды құрамының  компоненттері</w:t>
            </w:r>
          </w:p>
        </w:tc>
        <w:tc>
          <w:tcPr>
            <w:tcW w:w="3973" w:type="dxa"/>
            <w:tcBorders>
              <w:top w:val="nil"/>
              <w:bottom w:val="nil"/>
              <w:right w:val="nil"/>
            </w:tcBorders>
            <w:shd w:val="clear" w:color="auto" w:fill="auto"/>
          </w:tcPr>
          <w:p w:rsidR="00DE5786" w:rsidRPr="00DE5786" w:rsidRDefault="00DE5786" w:rsidP="00DE5786">
            <w:pPr>
              <w:spacing w:after="0" w:line="240" w:lineRule="auto"/>
              <w:jc w:val="center"/>
              <w:rPr>
                <w:rFonts w:ascii="Times New Roman" w:eastAsia="Times New Roman" w:hAnsi="Times New Roman" w:cs="Times New Roman"/>
                <w:b/>
                <w:sz w:val="24"/>
                <w:szCs w:val="24"/>
                <w:lang w:val="kk-KZ" w:eastAsia="ru-RU"/>
              </w:rPr>
            </w:pPr>
            <w:r w:rsidRPr="00DE5786">
              <w:rPr>
                <w:rFonts w:ascii="Times New Roman" w:eastAsia="Times New Roman" w:hAnsi="Times New Roman" w:cs="Times New Roman"/>
                <w:b/>
                <w:sz w:val="24"/>
                <w:szCs w:val="24"/>
                <w:lang w:val="kk-KZ" w:eastAsia="ru-RU"/>
              </w:rPr>
              <w:t>Шекті  рауалы  концентрация</w:t>
            </w:r>
          </w:p>
        </w:tc>
      </w:tr>
      <w:tr w:rsidR="00DE5786" w:rsidRPr="00DE5786" w:rsidTr="00785F9A">
        <w:tblPrEx>
          <w:tblCellMar>
            <w:top w:w="0" w:type="dxa"/>
            <w:bottom w:w="0" w:type="dxa"/>
          </w:tblCellMar>
        </w:tblPrEx>
        <w:trPr>
          <w:trHeight w:val="174"/>
        </w:trPr>
        <w:tc>
          <w:tcPr>
            <w:tcW w:w="8460" w:type="dxa"/>
            <w:gridSpan w:val="2"/>
            <w:tcBorders>
              <w:top w:val="nil"/>
            </w:tcBorders>
          </w:tcPr>
          <w:p w:rsidR="00DE5786" w:rsidRPr="00DE5786" w:rsidRDefault="00DE5786" w:rsidP="00DE5786">
            <w:pPr>
              <w:spacing w:after="0" w:line="240" w:lineRule="auto"/>
              <w:jc w:val="center"/>
              <w:rPr>
                <w:rFonts w:ascii="Times New Roman" w:eastAsia="Times New Roman" w:hAnsi="Times New Roman" w:cs="Times New Roman"/>
                <w:b/>
                <w:sz w:val="24"/>
                <w:szCs w:val="24"/>
                <w:lang w:val="kk-KZ" w:eastAsia="ru-RU"/>
              </w:rPr>
            </w:pPr>
            <w:r w:rsidRPr="00DE5786">
              <w:rPr>
                <w:rFonts w:ascii="Times New Roman" w:eastAsia="Times New Roman" w:hAnsi="Times New Roman" w:cs="Times New Roman"/>
                <w:b/>
                <w:sz w:val="24"/>
                <w:szCs w:val="24"/>
                <w:lang w:val="kk-KZ" w:eastAsia="ru-RU"/>
              </w:rPr>
              <w:t>1-ші  класс</w:t>
            </w:r>
          </w:p>
        </w:tc>
      </w:tr>
      <w:tr w:rsidR="00DE5786" w:rsidRPr="00DE5786" w:rsidTr="00785F9A">
        <w:tblPrEx>
          <w:tblCellMar>
            <w:top w:w="0" w:type="dxa"/>
            <w:bottom w:w="0" w:type="dxa"/>
          </w:tblCellMar>
        </w:tblPrEx>
        <w:trPr>
          <w:trHeight w:val="170"/>
        </w:trPr>
        <w:tc>
          <w:tcPr>
            <w:tcW w:w="8460" w:type="dxa"/>
            <w:gridSpan w:val="2"/>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1 Катиондар</w:t>
            </w:r>
          </w:p>
        </w:tc>
      </w:tr>
      <w:tr w:rsidR="00DE5786" w:rsidRPr="00DE5786" w:rsidTr="00785F9A">
        <w:tblPrEx>
          <w:tblCellMar>
            <w:top w:w="0" w:type="dxa"/>
            <w:bottom w:w="0" w:type="dxa"/>
          </w:tblCellMar>
        </w:tblPrEx>
        <w:trPr>
          <w:trHeight w:val="140"/>
        </w:trPr>
        <w:tc>
          <w:tcPr>
            <w:tcW w:w="4487"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Кальций</w:t>
            </w:r>
          </w:p>
        </w:tc>
        <w:tc>
          <w:tcPr>
            <w:tcW w:w="3973"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200 мг/л</w:t>
            </w:r>
          </w:p>
        </w:tc>
      </w:tr>
      <w:tr w:rsidR="00DE5786" w:rsidRPr="00DE5786" w:rsidTr="00785F9A">
        <w:tblPrEx>
          <w:tblCellMar>
            <w:top w:w="0" w:type="dxa"/>
            <w:bottom w:w="0" w:type="dxa"/>
          </w:tblCellMar>
        </w:tblPrEx>
        <w:trPr>
          <w:trHeight w:val="219"/>
        </w:trPr>
        <w:tc>
          <w:tcPr>
            <w:tcW w:w="4487"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Магний</w:t>
            </w:r>
          </w:p>
        </w:tc>
        <w:tc>
          <w:tcPr>
            <w:tcW w:w="3973"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100 мг/л</w:t>
            </w:r>
          </w:p>
        </w:tc>
      </w:tr>
      <w:tr w:rsidR="00DE5786" w:rsidRPr="00DE5786" w:rsidTr="00785F9A">
        <w:tblPrEx>
          <w:tblCellMar>
            <w:top w:w="0" w:type="dxa"/>
            <w:bottom w:w="0" w:type="dxa"/>
          </w:tblCellMar>
        </w:tblPrEx>
        <w:trPr>
          <w:trHeight w:val="120"/>
        </w:trPr>
        <w:tc>
          <w:tcPr>
            <w:tcW w:w="4487"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Натрий</w:t>
            </w:r>
          </w:p>
        </w:tc>
        <w:tc>
          <w:tcPr>
            <w:tcW w:w="3973"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200 мг/л</w:t>
            </w:r>
          </w:p>
        </w:tc>
      </w:tr>
      <w:tr w:rsidR="00DE5786" w:rsidRPr="00DE5786" w:rsidTr="00785F9A">
        <w:tblPrEx>
          <w:tblCellMar>
            <w:top w:w="0" w:type="dxa"/>
            <w:bottom w:w="0" w:type="dxa"/>
          </w:tblCellMar>
        </w:tblPrEx>
        <w:trPr>
          <w:trHeight w:val="185"/>
        </w:trPr>
        <w:tc>
          <w:tcPr>
            <w:tcW w:w="8460" w:type="dxa"/>
            <w:gridSpan w:val="2"/>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2 Аниондар</w:t>
            </w:r>
          </w:p>
        </w:tc>
      </w:tr>
      <w:tr w:rsidR="00DE5786" w:rsidRPr="00DE5786" w:rsidTr="00785F9A">
        <w:tblPrEx>
          <w:tblCellMar>
            <w:top w:w="0" w:type="dxa"/>
            <w:bottom w:w="0" w:type="dxa"/>
          </w:tblCellMar>
        </w:tblPrEx>
        <w:trPr>
          <w:trHeight w:val="86"/>
        </w:trPr>
        <w:tc>
          <w:tcPr>
            <w:tcW w:w="4487"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Нитрат</w:t>
            </w:r>
          </w:p>
        </w:tc>
        <w:tc>
          <w:tcPr>
            <w:tcW w:w="3973"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45 мг/л</w:t>
            </w:r>
          </w:p>
        </w:tc>
      </w:tr>
      <w:tr w:rsidR="00DE5786" w:rsidRPr="00DE5786" w:rsidTr="00785F9A">
        <w:tblPrEx>
          <w:tblCellMar>
            <w:top w:w="0" w:type="dxa"/>
            <w:bottom w:w="0" w:type="dxa"/>
          </w:tblCellMar>
        </w:tblPrEx>
        <w:trPr>
          <w:trHeight w:val="151"/>
        </w:trPr>
        <w:tc>
          <w:tcPr>
            <w:tcW w:w="4487"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Карбонат</w:t>
            </w:r>
          </w:p>
        </w:tc>
        <w:tc>
          <w:tcPr>
            <w:tcW w:w="3973"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100 мг/л</w:t>
            </w:r>
          </w:p>
        </w:tc>
      </w:tr>
      <w:tr w:rsidR="00DE5786" w:rsidRPr="00DE5786" w:rsidTr="00785F9A">
        <w:tblPrEx>
          <w:tblCellMar>
            <w:top w:w="0" w:type="dxa"/>
            <w:bottom w:w="0" w:type="dxa"/>
          </w:tblCellMar>
        </w:tblPrEx>
        <w:trPr>
          <w:trHeight w:val="70"/>
        </w:trPr>
        <w:tc>
          <w:tcPr>
            <w:tcW w:w="4487"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Гидрокарбонат</w:t>
            </w:r>
          </w:p>
        </w:tc>
        <w:tc>
          <w:tcPr>
            <w:tcW w:w="3973"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1000 мг/л</w:t>
            </w:r>
          </w:p>
        </w:tc>
      </w:tr>
      <w:tr w:rsidR="00DE5786" w:rsidRPr="00DE5786" w:rsidTr="00785F9A">
        <w:tblPrEx>
          <w:tblCellMar>
            <w:top w:w="0" w:type="dxa"/>
            <w:bottom w:w="0" w:type="dxa"/>
          </w:tblCellMar>
        </w:tblPrEx>
        <w:trPr>
          <w:trHeight w:val="104"/>
        </w:trPr>
        <w:tc>
          <w:tcPr>
            <w:tcW w:w="4487"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Хлорид</w:t>
            </w:r>
          </w:p>
        </w:tc>
        <w:tc>
          <w:tcPr>
            <w:tcW w:w="3973"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350 мг/л</w:t>
            </w:r>
          </w:p>
        </w:tc>
      </w:tr>
      <w:tr w:rsidR="00DE5786" w:rsidRPr="00DE5786" w:rsidTr="00785F9A">
        <w:tblPrEx>
          <w:tblCellMar>
            <w:top w:w="0" w:type="dxa"/>
            <w:bottom w:w="0" w:type="dxa"/>
          </w:tblCellMar>
        </w:tblPrEx>
        <w:trPr>
          <w:trHeight w:val="183"/>
        </w:trPr>
        <w:tc>
          <w:tcPr>
            <w:tcW w:w="4487" w:type="dxa"/>
            <w:tcBorders>
              <w:bottom w:val="nil"/>
            </w:tcBorders>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Сульфат</w:t>
            </w:r>
          </w:p>
        </w:tc>
        <w:tc>
          <w:tcPr>
            <w:tcW w:w="3973" w:type="dxa"/>
            <w:tcBorders>
              <w:bottom w:val="nil"/>
            </w:tcBorders>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500 мг/л</w:t>
            </w:r>
          </w:p>
        </w:tc>
      </w:tr>
      <w:tr w:rsidR="00DE5786" w:rsidRPr="00DE5786" w:rsidTr="00785F9A">
        <w:tblPrEx>
          <w:tblCellMar>
            <w:top w:w="0" w:type="dxa"/>
            <w:bottom w:w="0" w:type="dxa"/>
          </w:tblCellMar>
        </w:tblPrEx>
        <w:trPr>
          <w:trHeight w:val="152"/>
        </w:trPr>
        <w:tc>
          <w:tcPr>
            <w:tcW w:w="8460" w:type="dxa"/>
            <w:gridSpan w:val="2"/>
            <w:tcBorders>
              <w:bottom w:val="single" w:sz="4" w:space="0" w:color="auto"/>
            </w:tcBorders>
          </w:tcPr>
          <w:p w:rsidR="00DE5786" w:rsidRPr="00DE5786" w:rsidRDefault="00DE5786" w:rsidP="00DE5786">
            <w:pPr>
              <w:spacing w:after="0" w:line="240" w:lineRule="auto"/>
              <w:jc w:val="both"/>
              <w:rPr>
                <w:rFonts w:ascii="Times New Roman" w:eastAsia="Times New Roman" w:hAnsi="Times New Roman" w:cs="Times New Roman"/>
                <w:b/>
                <w:sz w:val="24"/>
                <w:szCs w:val="24"/>
                <w:lang w:val="kk-KZ" w:eastAsia="ru-RU"/>
              </w:rPr>
            </w:pPr>
            <w:r w:rsidRPr="00DE5786">
              <w:rPr>
                <w:rFonts w:ascii="Times New Roman" w:eastAsia="Times New Roman" w:hAnsi="Times New Roman" w:cs="Times New Roman"/>
                <w:b/>
                <w:sz w:val="24"/>
                <w:szCs w:val="24"/>
                <w:lang w:val="kk-KZ" w:eastAsia="ru-RU"/>
              </w:rPr>
              <w:t xml:space="preserve">                                                       2-ші   класс</w:t>
            </w:r>
          </w:p>
        </w:tc>
      </w:tr>
      <w:tr w:rsidR="00DE5786" w:rsidRPr="00DE5786" w:rsidTr="00785F9A">
        <w:tblPrEx>
          <w:tblCellMar>
            <w:top w:w="0" w:type="dxa"/>
            <w:bottom w:w="0" w:type="dxa"/>
          </w:tblCellMar>
        </w:tblPrEx>
        <w:trPr>
          <w:trHeight w:val="231"/>
        </w:trPr>
        <w:tc>
          <w:tcPr>
            <w:tcW w:w="8460" w:type="dxa"/>
            <w:gridSpan w:val="2"/>
            <w:tcBorders>
              <w:top w:val="single" w:sz="4" w:space="0" w:color="auto"/>
            </w:tcBorders>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1 Катиондар</w:t>
            </w:r>
          </w:p>
        </w:tc>
      </w:tr>
      <w:tr w:rsidR="00DE5786" w:rsidRPr="00DE5786" w:rsidTr="00785F9A">
        <w:tblPrEx>
          <w:tblCellMar>
            <w:top w:w="0" w:type="dxa"/>
            <w:bottom w:w="0" w:type="dxa"/>
          </w:tblCellMar>
        </w:tblPrEx>
        <w:trPr>
          <w:trHeight w:val="118"/>
        </w:trPr>
        <w:tc>
          <w:tcPr>
            <w:tcW w:w="4487" w:type="dxa"/>
            <w:tcBorders>
              <w:bottom w:val="single" w:sz="4" w:space="0" w:color="auto"/>
            </w:tcBorders>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Аммоний</w:t>
            </w:r>
          </w:p>
        </w:tc>
        <w:tc>
          <w:tcPr>
            <w:tcW w:w="3973" w:type="dxa"/>
            <w:tcBorders>
              <w:bottom w:val="single" w:sz="4" w:space="0" w:color="auto"/>
            </w:tcBorders>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2,5 мг/л</w:t>
            </w:r>
          </w:p>
        </w:tc>
      </w:tr>
      <w:tr w:rsidR="00DE5786" w:rsidRPr="00DE5786" w:rsidTr="00785F9A">
        <w:tblPrEx>
          <w:tblCellMar>
            <w:top w:w="0" w:type="dxa"/>
            <w:bottom w:w="0" w:type="dxa"/>
          </w:tblCellMar>
        </w:tblPrEx>
        <w:trPr>
          <w:trHeight w:val="183"/>
        </w:trPr>
        <w:tc>
          <w:tcPr>
            <w:tcW w:w="4487" w:type="dxa"/>
            <w:tcBorders>
              <w:bottom w:val="single" w:sz="4" w:space="0" w:color="auto"/>
            </w:tcBorders>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Металдар</w:t>
            </w:r>
          </w:p>
        </w:tc>
        <w:tc>
          <w:tcPr>
            <w:tcW w:w="3973" w:type="dxa"/>
            <w:tcBorders>
              <w:bottom w:val="single" w:sz="4" w:space="0" w:color="auto"/>
            </w:tcBorders>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0,001 ммоль/л</w:t>
            </w:r>
          </w:p>
        </w:tc>
      </w:tr>
      <w:tr w:rsidR="00DE5786" w:rsidRPr="00DE5786" w:rsidTr="00785F9A">
        <w:tblPrEx>
          <w:tblCellMar>
            <w:top w:w="0" w:type="dxa"/>
            <w:bottom w:w="0" w:type="dxa"/>
          </w:tblCellMar>
        </w:tblPrEx>
        <w:trPr>
          <w:trHeight w:val="84"/>
        </w:trPr>
        <w:tc>
          <w:tcPr>
            <w:tcW w:w="4487" w:type="dxa"/>
            <w:tcBorders>
              <w:top w:val="single" w:sz="4" w:space="0" w:color="auto"/>
              <w:left w:val="single" w:sz="4" w:space="0" w:color="auto"/>
              <w:bottom w:val="nil"/>
              <w:right w:val="single" w:sz="4" w:space="0" w:color="auto"/>
            </w:tcBorders>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Жалпы темір</w:t>
            </w:r>
          </w:p>
        </w:tc>
        <w:tc>
          <w:tcPr>
            <w:tcW w:w="3973" w:type="dxa"/>
            <w:tcBorders>
              <w:top w:val="single" w:sz="4" w:space="0" w:color="auto"/>
              <w:left w:val="single" w:sz="4" w:space="0" w:color="auto"/>
              <w:bottom w:val="nil"/>
              <w:right w:val="single" w:sz="4" w:space="0" w:color="auto"/>
            </w:tcBorders>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0,3 мг/л</w:t>
            </w:r>
          </w:p>
        </w:tc>
      </w:tr>
      <w:tr w:rsidR="00DE5786" w:rsidRPr="00DE5786" w:rsidTr="00785F9A">
        <w:tblPrEx>
          <w:tblCellMar>
            <w:top w:w="0" w:type="dxa"/>
            <w:bottom w:w="0" w:type="dxa"/>
          </w:tblCellMar>
        </w:tblPrEx>
        <w:trPr>
          <w:trHeight w:val="149"/>
        </w:trPr>
        <w:tc>
          <w:tcPr>
            <w:tcW w:w="8460" w:type="dxa"/>
            <w:gridSpan w:val="2"/>
            <w:tcBorders>
              <w:top w:val="single" w:sz="4" w:space="0" w:color="auto"/>
            </w:tcBorders>
          </w:tcPr>
          <w:p w:rsidR="00DE5786" w:rsidRPr="00DE5786" w:rsidRDefault="00DE5786" w:rsidP="00DE5786">
            <w:pPr>
              <w:spacing w:after="0" w:line="240" w:lineRule="auto"/>
              <w:jc w:val="center"/>
              <w:rPr>
                <w:rFonts w:ascii="Times New Roman" w:eastAsia="Times New Roman" w:hAnsi="Times New Roman" w:cs="Times New Roman"/>
                <w:b/>
                <w:sz w:val="24"/>
                <w:szCs w:val="24"/>
                <w:lang w:val="kk-KZ" w:eastAsia="ru-RU"/>
              </w:rPr>
            </w:pPr>
            <w:r w:rsidRPr="00DE5786">
              <w:rPr>
                <w:rFonts w:ascii="Times New Roman" w:eastAsia="Times New Roman" w:hAnsi="Times New Roman" w:cs="Times New Roman"/>
                <w:b/>
                <w:sz w:val="24"/>
                <w:szCs w:val="24"/>
                <w:lang w:val="kk-KZ" w:eastAsia="ru-RU"/>
              </w:rPr>
              <w:t>2 Аниондар</w:t>
            </w:r>
          </w:p>
        </w:tc>
      </w:tr>
      <w:tr w:rsidR="00DE5786" w:rsidRPr="00DE5786" w:rsidTr="00785F9A">
        <w:tblPrEx>
          <w:tblCellMar>
            <w:top w:w="0" w:type="dxa"/>
            <w:bottom w:w="0" w:type="dxa"/>
          </w:tblCellMar>
        </w:tblPrEx>
        <w:trPr>
          <w:trHeight w:val="255"/>
        </w:trPr>
        <w:tc>
          <w:tcPr>
            <w:tcW w:w="4487"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Нитрит</w:t>
            </w:r>
          </w:p>
        </w:tc>
        <w:tc>
          <w:tcPr>
            <w:tcW w:w="3973"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0,1 мг/л</w:t>
            </w:r>
          </w:p>
        </w:tc>
      </w:tr>
      <w:tr w:rsidR="00DE5786" w:rsidRPr="00DE5786" w:rsidTr="00785F9A">
        <w:tblPrEx>
          <w:tblCellMar>
            <w:top w:w="0" w:type="dxa"/>
            <w:bottom w:w="0" w:type="dxa"/>
          </w:tblCellMar>
        </w:tblPrEx>
        <w:trPr>
          <w:trHeight w:val="70"/>
        </w:trPr>
        <w:tc>
          <w:tcPr>
            <w:tcW w:w="4487"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Фосфат</w:t>
            </w:r>
          </w:p>
        </w:tc>
        <w:tc>
          <w:tcPr>
            <w:tcW w:w="3973" w:type="dxa"/>
          </w:tcPr>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 xml:space="preserve">                          3,5 мг/л</w:t>
            </w:r>
          </w:p>
        </w:tc>
      </w:tr>
    </w:tbl>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Судың минералды құрамының өзгеруі ең алдымен, қарапайым бір клеткалы организмдердің тіршілік етуіне әсерін тигізеді. Себебі, еріген тұздар тірі клетка элементтері үшін құрылыс материалы болып табылады және клетканың қоршаған ортамен зат алмасуын анықтайды. Тұздардың жоғары концентрациясы, суатты қоршаған топырақтың минералды құрамына ауыр зардабын тигізеді және ауылшаруашылық дала егістерін суландыру уақытында, топырақтың жер асты суларын сіңіру процесінде тұздануына әкеліп соғады. Судағы табиғи тұздылық тепе-теңдігінің бұзылуына әкеліп соғатын, табиғи сулардың минералды тұздармен антропогенді байытылу көздері болып табылады:</w:t>
      </w:r>
    </w:p>
    <w:p w:rsidR="00DE5786" w:rsidRPr="00DE5786" w:rsidRDefault="00DE5786" w:rsidP="00DE5786">
      <w:pPr>
        <w:numPr>
          <w:ilvl w:val="0"/>
          <w:numId w:val="2"/>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қыстыгүні  қала көшелері мен жолдардан тұзы бар еріген қар</w:t>
      </w:r>
    </w:p>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суларының құйылуы;</w:t>
      </w:r>
    </w:p>
    <w:p w:rsidR="00DE5786" w:rsidRPr="00DE5786" w:rsidRDefault="00DE5786" w:rsidP="00DE5786">
      <w:pPr>
        <w:numPr>
          <w:ilvl w:val="0"/>
          <w:numId w:val="2"/>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дала алқаптарын минералды тыңайтқыштармен өңдегеннен</w:t>
      </w:r>
    </w:p>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кейін, ақаба жаңбыр     суларымен шайылып құйылуы;</w:t>
      </w:r>
    </w:p>
    <w:p w:rsidR="00DE5786" w:rsidRPr="00DE5786" w:rsidRDefault="00DE5786" w:rsidP="00DE5786">
      <w:pPr>
        <w:numPr>
          <w:ilvl w:val="0"/>
          <w:numId w:val="2"/>
        </w:numPr>
        <w:tabs>
          <w:tab w:val="num" w:pos="1080"/>
        </w:tabs>
        <w:spacing w:after="0" w:line="240" w:lineRule="auto"/>
        <w:ind w:left="1080" w:hanging="36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өндіріс кәсіпорындарынан шығатын тұздық, тазартылмаған</w:t>
      </w:r>
    </w:p>
    <w:p w:rsidR="00DE5786" w:rsidRPr="00DE5786" w:rsidRDefault="00DE5786" w:rsidP="00DE5786">
      <w:pPr>
        <w:spacing w:after="0" w:line="240" w:lineRule="auto"/>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ақаба сулары және тағы да басқа.</w:t>
      </w:r>
    </w:p>
    <w:p w:rsidR="00DE5786" w:rsidRPr="00DE5786" w:rsidRDefault="00DE5786" w:rsidP="00DE5786">
      <w:pPr>
        <w:spacing w:after="0" w:line="240" w:lineRule="auto"/>
        <w:ind w:firstLine="720"/>
        <w:jc w:val="both"/>
        <w:rPr>
          <w:rFonts w:ascii="Times New Roman" w:eastAsia="Times New Roman" w:hAnsi="Times New Roman" w:cs="Times New Roman"/>
          <w:sz w:val="24"/>
          <w:szCs w:val="24"/>
          <w:lang w:val="kk-KZ" w:eastAsia="ru-RU"/>
        </w:rPr>
      </w:pPr>
      <w:r w:rsidRPr="00DE5786">
        <w:rPr>
          <w:rFonts w:ascii="Times New Roman" w:eastAsia="Times New Roman" w:hAnsi="Times New Roman" w:cs="Times New Roman"/>
          <w:sz w:val="24"/>
          <w:szCs w:val="24"/>
          <w:lang w:val="kk-KZ" w:eastAsia="ru-RU"/>
        </w:rPr>
        <w:t>Тұздардың жоғары концентрациясы ауыз судың дәмін бұзады, ал  ШРК-нан асып түсетін  тұздардың концентрациясынан  ауыз су және шаруашылық қажеттіліктері үшін пайдаланылатын су жарамсыз болып келеді.</w:t>
      </w:r>
    </w:p>
    <w:p w:rsidR="008A177C" w:rsidRPr="00DE5786" w:rsidRDefault="00DE5786" w:rsidP="00DE5786">
      <w:pPr>
        <w:tabs>
          <w:tab w:val="left" w:pos="2190"/>
        </w:tabs>
        <w:rPr>
          <w:lang w:val="kk-KZ"/>
        </w:rPr>
      </w:pPr>
      <w:r w:rsidRPr="00DE5786">
        <w:rPr>
          <w:lang w:val="kk-KZ"/>
        </w:rPr>
        <w:tab/>
      </w:r>
    </w:p>
    <w:sectPr w:rsidR="008A177C" w:rsidRPr="00DE578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8262B6"/>
    <w:multiLevelType w:val="hybridMultilevel"/>
    <w:tmpl w:val="401496F4"/>
    <w:lvl w:ilvl="0" w:tplc="FFFFFFFF">
      <w:start w:val="1"/>
      <w:numFmt w:val="decimal"/>
      <w:lvlText w:val="%1)"/>
      <w:lvlJc w:val="left"/>
      <w:pPr>
        <w:tabs>
          <w:tab w:val="num" w:pos="855"/>
        </w:tabs>
        <w:ind w:left="855" w:hanging="495"/>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
    <w:nsid w:val="60C069FC"/>
    <w:multiLevelType w:val="hybridMultilevel"/>
    <w:tmpl w:val="32D210CC"/>
    <w:lvl w:ilvl="0" w:tplc="FFFFFFFF">
      <w:start w:val="1"/>
      <w:numFmt w:val="decimal"/>
      <w:lvlText w:val="%1)"/>
      <w:lvlJc w:val="left"/>
      <w:pPr>
        <w:tabs>
          <w:tab w:val="num" w:pos="855"/>
        </w:tabs>
        <w:ind w:left="855" w:hanging="495"/>
      </w:pPr>
      <w:rPr>
        <w:rFonts w:hint="default"/>
      </w:rPr>
    </w:lvl>
    <w:lvl w:ilvl="1" w:tplc="FFFFFFFF">
      <w:start w:val="1"/>
      <w:numFmt w:val="decimal"/>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047"/>
    <w:rsid w:val="00562EFA"/>
    <w:rsid w:val="00601516"/>
    <w:rsid w:val="007A4047"/>
    <w:rsid w:val="008A177C"/>
    <w:rsid w:val="00DE57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15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15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804</Words>
  <Characters>4588</Characters>
  <Application>Microsoft Office Word</Application>
  <DocSecurity>0</DocSecurity>
  <Lines>38</Lines>
  <Paragraphs>10</Paragraphs>
  <ScaleCrop>false</ScaleCrop>
  <Company>CtrlSoft</Company>
  <LinksUpToDate>false</LinksUpToDate>
  <CharactersWithSpaces>5382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Манира Жаманбаева</dc:creator>
  <cp:keywords/>
  <dc:description/>
  <cp:lastModifiedBy>Манира Жаманбаева</cp:lastModifiedBy>
  <cp:revision>4</cp:revision>
  <dcterms:created xsi:type="dcterms:W3CDTF">2019-04-01T04:46:00Z</dcterms:created>
  <dcterms:modified xsi:type="dcterms:W3CDTF">2019-04-01T07:26:00Z</dcterms:modified>
</cp:coreProperties>
</file>